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4594F1" w14:textId="77777777" w:rsidR="00E3364E" w:rsidRDefault="00000000">
      <w:pPr>
        <w:pStyle w:val="Heading1"/>
      </w:pPr>
      <w:r>
        <w:t>Introduction to the 10-Week Asset Management Proposal</w:t>
      </w:r>
    </w:p>
    <w:p w14:paraId="3B6FCFFF" w14:textId="77777777" w:rsidR="00E3364E" w:rsidRDefault="00000000">
      <w:r>
        <w:br/>
        <w:t xml:space="preserve">This document presents a 10-week timetable for establishing a comprehensive asset management function within an organization. </w:t>
      </w:r>
      <w:r>
        <w:br/>
        <w:t xml:space="preserve">The plan provides a strategic roadmap for building this capability internally and subsequently offering it as a service to external organizations. </w:t>
      </w:r>
      <w:r>
        <w:br/>
        <w:t>It serves as a proposal for how to approach the development and implementation of this critical function, focusing on both internal readiness and external market entry.</w:t>
      </w:r>
      <w:r>
        <w:br/>
      </w:r>
    </w:p>
    <w:p w14:paraId="4B8B396F" w14:textId="77777777" w:rsidR="00E3364E" w:rsidRDefault="00000000">
      <w:pPr>
        <w:pStyle w:val="Heading2"/>
      </w:pPr>
      <w:r>
        <w:t>Purpose and Objectives</w:t>
      </w:r>
    </w:p>
    <w:p w14:paraId="37274253" w14:textId="77777777" w:rsidR="00E3364E" w:rsidRDefault="00000000">
      <w:r>
        <w:br/>
        <w:t xml:space="preserve">The primary objective of this 10-week plan is to establish a robust and scalable asset management function that meets organizational goals while </w:t>
      </w:r>
      <w:r>
        <w:br/>
        <w:t>setting the stage for revenue generation through external client engagement. The plan outlines a dual-phase approach:</w:t>
      </w:r>
      <w:r>
        <w:br/>
        <w:t>1. Internal Development (Weeks 1-4): Laying the groundwork by setting up the asset management capability within the organization, ensuring it is efficient, compliant, and aligned with industry best practices.</w:t>
      </w:r>
      <w:r>
        <w:br/>
        <w:t>2. External Offering (Weeks 5-10): Transitioning from internal operations to positioning this service as a professional offering for other organizations. This includes refining operational processes, crafting a compelling sales strategy, and structuring the service with a standard fee model of 2% management fee and 20% performance fee.</w:t>
      </w:r>
      <w:r>
        <w:br/>
      </w:r>
    </w:p>
    <w:p w14:paraId="78282C50" w14:textId="77777777" w:rsidR="00E3364E" w:rsidRDefault="00000000">
      <w:pPr>
        <w:pStyle w:val="Heading2"/>
      </w:pPr>
      <w:r>
        <w:t>Structure of the Plan</w:t>
      </w:r>
    </w:p>
    <w:p w14:paraId="3838E1D0" w14:textId="77777777" w:rsidR="00E3364E" w:rsidRDefault="00000000">
      <w:r>
        <w:br/>
        <w:t xml:space="preserve">The timetable is divided into weekly segments, each featuring specific milestones, actionable activities, and expected outcomes that ensure steady progress toward the dual-phase goal. </w:t>
      </w:r>
      <w:r>
        <w:br/>
        <w:t>The table is organized into the following key columns:</w:t>
      </w:r>
      <w:r>
        <w:br/>
        <w:t>1. Week: Defines the time frame for each stage of development and market readiness.</w:t>
      </w:r>
      <w:r>
        <w:br/>
        <w:t>2. Milestones: Details the key deliverables and objectives to be achieved in each week.</w:t>
      </w:r>
      <w:r>
        <w:br/>
        <w:t>3. Activities: Lists the specific tasks and initiatives required to meet the milestones, providing a step-by-step guide.</w:t>
      </w:r>
      <w:r>
        <w:br/>
        <w:t>4. Expected Outcomes: Specifies the tangible results or progress markers at the end of each phase.</w:t>
      </w:r>
      <w:r>
        <w:br/>
      </w:r>
    </w:p>
    <w:p w14:paraId="793BBFDA" w14:textId="77777777" w:rsidR="00E3364E" w:rsidRDefault="00000000">
      <w:pPr>
        <w:pStyle w:val="Heading2"/>
      </w:pPr>
      <w:r>
        <w:t>Key Highlights of the Proposal</w:t>
      </w:r>
    </w:p>
    <w:p w14:paraId="043BFF7E" w14:textId="77777777" w:rsidR="00E3364E" w:rsidRDefault="00000000">
      <w:r>
        <w:br/>
        <w:t xml:space="preserve">1. Weeks 1-4: Internal Capability Building  </w:t>
      </w:r>
      <w:r>
        <w:br/>
      </w:r>
      <w:r>
        <w:lastRenderedPageBreak/>
        <w:t xml:space="preserve">   These weeks focus on establishing the core asset management function, including selecting brokerage firms, setting up operational accounts, </w:t>
      </w:r>
      <w:r>
        <w:br/>
        <w:t xml:space="preserve">   and initiating low-risk investment activities. The goal is to develop a strong internal foundation that ensures compliance, operational efficiency, and readiness to manage assets effectively.</w:t>
      </w:r>
      <w:r>
        <w:br/>
      </w:r>
      <w:r>
        <w:br/>
        <w:t xml:space="preserve">2. Weeks 5-7: Preparing for Market Entry  </w:t>
      </w:r>
      <w:r>
        <w:br/>
        <w:t xml:space="preserve">   Once the internal function is operational, attention shifts to developing the sales strategy, creating marketing materials, and defining the value proposition for external clients. </w:t>
      </w:r>
      <w:r>
        <w:br/>
        <w:t xml:space="preserve">   This phase ensures that the service is market-ready, competitive, and professionally positioned.</w:t>
      </w:r>
      <w:r>
        <w:br/>
      </w:r>
      <w:r>
        <w:br/>
        <w:t xml:space="preserve">3. Weeks 8-10: Launch and Scaling  </w:t>
      </w:r>
      <w:r>
        <w:br/>
        <w:t xml:space="preserve">   In the final phase, the focus is on executing the go-to-market strategy, engaging with potential clients, and building a portfolio of external accounts. </w:t>
      </w:r>
      <w:r>
        <w:br/>
        <w:t xml:space="preserve">   This phase includes refining performance metrics and operational workflows to ensure the service meets the needs of both the organization and its clients.</w:t>
      </w:r>
      <w:r>
        <w:br/>
      </w:r>
    </w:p>
    <w:p w14:paraId="0CC52A77" w14:textId="77777777" w:rsidR="00E3364E" w:rsidRDefault="00000000">
      <w:pPr>
        <w:pStyle w:val="Heading2"/>
      </w:pPr>
      <w:r>
        <w:t>Expected Benefits</w:t>
      </w:r>
    </w:p>
    <w:p w14:paraId="02FAD8B9" w14:textId="77777777" w:rsidR="00E3364E" w:rsidRDefault="00000000">
      <w:r>
        <w:br/>
        <w:t>By following this structured plan, the organization will achieve several strategic benefits:</w:t>
      </w:r>
      <w:r>
        <w:br/>
        <w:t>- Operational Excellence: Develop a best-in-class asset management function internally, capable of delivering consistent results.</w:t>
      </w:r>
      <w:r>
        <w:br/>
        <w:t>- Revenue Generation: Establish a profitable external service offering with a standard fee structure of 2% management fee and 20% performance fee, ensuring long-term financial sustainability.</w:t>
      </w:r>
      <w:r>
        <w:br/>
        <w:t>- Market Positioning: Position the organization as a trusted and professional provider of asset management services to external clients.</w:t>
      </w:r>
      <w:r>
        <w:br/>
        <w:t>- Scalability: Build a framework that supports the seamless growth of the asset management function to accommodate increasing demand.</w:t>
      </w:r>
      <w:r>
        <w:br/>
      </w:r>
      <w:r>
        <w:br/>
        <w:t xml:space="preserve">This 10-week timetable serves as both a roadmap and a strategic proposal, ensuring that the organization is well-prepared to develop and scale its asset management capabilities effectively. </w:t>
      </w:r>
      <w:r>
        <w:br/>
        <w:t>By adhering to the plan, the organization can achieve a dual benefit of enhancing its internal financial management processes and generating new revenue streams through external service offerings.</w:t>
      </w:r>
      <w:r>
        <w:br/>
      </w:r>
    </w:p>
    <w:sectPr w:rsidR="00E3364E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424426327">
    <w:abstractNumId w:val="8"/>
  </w:num>
  <w:num w:numId="2" w16cid:durableId="718284764">
    <w:abstractNumId w:val="6"/>
  </w:num>
  <w:num w:numId="3" w16cid:durableId="1130319239">
    <w:abstractNumId w:val="5"/>
  </w:num>
  <w:num w:numId="4" w16cid:durableId="320891486">
    <w:abstractNumId w:val="4"/>
  </w:num>
  <w:num w:numId="5" w16cid:durableId="1488010073">
    <w:abstractNumId w:val="7"/>
  </w:num>
  <w:num w:numId="6" w16cid:durableId="2084060544">
    <w:abstractNumId w:val="3"/>
  </w:num>
  <w:num w:numId="7" w16cid:durableId="1727756167">
    <w:abstractNumId w:val="2"/>
  </w:num>
  <w:num w:numId="8" w16cid:durableId="596250708">
    <w:abstractNumId w:val="1"/>
  </w:num>
  <w:num w:numId="9" w16cid:durableId="15891198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15074B"/>
    <w:rsid w:val="0029639D"/>
    <w:rsid w:val="00326F90"/>
    <w:rsid w:val="009B7705"/>
    <w:rsid w:val="00AA1D8D"/>
    <w:rsid w:val="00B47730"/>
    <w:rsid w:val="00CB0664"/>
    <w:rsid w:val="00D344F5"/>
    <w:rsid w:val="00E3364E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B5E45FB"/>
  <w14:defaultImageDpi w14:val="300"/>
  <w15:docId w15:val="{E51FE61B-19E3-604D-9DBA-1E43F2FF8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624</Words>
  <Characters>3561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4177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Hosein Rastegar</cp:lastModifiedBy>
  <cp:revision>2</cp:revision>
  <dcterms:created xsi:type="dcterms:W3CDTF">2025-01-06T08:49:00Z</dcterms:created>
  <dcterms:modified xsi:type="dcterms:W3CDTF">2025-01-06T08:49:00Z</dcterms:modified>
  <cp:category/>
</cp:coreProperties>
</file>