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"/>
        <w:tblpPr w:leftFromText="180" w:rightFromText="180" w:vertAnchor="page" w:horzAnchor="margin" w:tblpY="1"/>
        <w:bidiVisual/>
        <w:tblW w:w="9495" w:type="dxa"/>
        <w:tblLayout w:type="fixed"/>
        <w:tblLook w:val="04A0" w:firstRow="1" w:lastRow="0" w:firstColumn="1" w:lastColumn="0" w:noHBand="0" w:noVBand="1"/>
      </w:tblPr>
      <w:tblGrid>
        <w:gridCol w:w="431"/>
        <w:gridCol w:w="1692"/>
        <w:gridCol w:w="1568"/>
        <w:gridCol w:w="1559"/>
        <w:gridCol w:w="1409"/>
        <w:gridCol w:w="1988"/>
        <w:gridCol w:w="848"/>
      </w:tblGrid>
      <w:tr w:rsidR="00DD534F" w:rsidRPr="004C3F8D" w:rsidTr="00A21633">
        <w:trPr>
          <w:trHeight w:val="563"/>
        </w:trPr>
        <w:tc>
          <w:tcPr>
            <w:tcW w:w="94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D534F" w:rsidRDefault="00DD534F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  <w:r>
              <w:rPr>
                <w:rFonts w:cs="Lotus" w:hint="cs"/>
                <w:sz w:val="18"/>
                <w:szCs w:val="18"/>
                <w:rtl/>
              </w:rPr>
              <w:t xml:space="preserve">جد.ل </w:t>
            </w:r>
          </w:p>
        </w:tc>
      </w:tr>
      <w:tr w:rsidR="00DD24BE" w:rsidRPr="004C3F8D" w:rsidTr="00A21633">
        <w:trPr>
          <w:trHeight w:val="563"/>
        </w:trPr>
        <w:tc>
          <w:tcPr>
            <w:tcW w:w="9495" w:type="dxa"/>
            <w:gridSpan w:val="7"/>
            <w:tcBorders>
              <w:top w:val="nil"/>
            </w:tcBorders>
            <w:shd w:val="clear" w:color="auto" w:fill="DEEAF6" w:themeFill="accent1" w:themeFillTint="33"/>
            <w:vAlign w:val="center"/>
          </w:tcPr>
          <w:p w:rsidR="00DD24BE" w:rsidRPr="004C3F8D" w:rsidRDefault="00DD24BE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  <w:r>
              <w:rPr>
                <w:rFonts w:cs="Lotus" w:hint="cs"/>
                <w:sz w:val="18"/>
                <w:szCs w:val="18"/>
                <w:rtl/>
              </w:rPr>
              <w:t>مطالعات داخلی</w:t>
            </w:r>
          </w:p>
        </w:tc>
      </w:tr>
      <w:tr w:rsidR="004C3F8D" w:rsidRPr="004C3F8D" w:rsidTr="00A21633">
        <w:tc>
          <w:tcPr>
            <w:tcW w:w="431" w:type="dxa"/>
            <w:vAlign w:val="center"/>
          </w:tcPr>
          <w:p w:rsidR="004C3F8D" w:rsidRPr="00B43637" w:rsidRDefault="004C3F8D" w:rsidP="00A21633">
            <w:pPr>
              <w:bidi w:val="0"/>
              <w:jc w:val="center"/>
              <w:rPr>
                <w:rFonts w:cs="Lotus"/>
                <w:sz w:val="10"/>
                <w:szCs w:val="10"/>
              </w:rPr>
            </w:pPr>
            <w:r w:rsidRPr="00B43637">
              <w:rPr>
                <w:rFonts w:cs="Lotus" w:hint="cs"/>
                <w:sz w:val="10"/>
                <w:szCs w:val="10"/>
                <w:rtl/>
              </w:rPr>
              <w:t>ردیف</w:t>
            </w:r>
          </w:p>
        </w:tc>
        <w:tc>
          <w:tcPr>
            <w:tcW w:w="1692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  <w:r w:rsidRPr="004C3F8D">
              <w:rPr>
                <w:rFonts w:cs="Lotus" w:hint="cs"/>
                <w:sz w:val="18"/>
                <w:szCs w:val="18"/>
                <w:rtl/>
              </w:rPr>
              <w:t>عنوان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پژوهش</w:t>
            </w:r>
          </w:p>
        </w:tc>
        <w:tc>
          <w:tcPr>
            <w:tcW w:w="1568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  <w:r w:rsidRPr="004C3F8D">
              <w:rPr>
                <w:rFonts w:cs="Lotus" w:hint="cs"/>
                <w:sz w:val="18"/>
                <w:szCs w:val="18"/>
                <w:rtl/>
              </w:rPr>
              <w:t>محققان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/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مرکز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تحقیقاتی</w:t>
            </w:r>
          </w:p>
        </w:tc>
        <w:tc>
          <w:tcPr>
            <w:tcW w:w="1559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  <w:r w:rsidRPr="004C3F8D">
              <w:rPr>
                <w:rFonts w:cs="Lotus" w:hint="cs"/>
                <w:sz w:val="18"/>
                <w:szCs w:val="18"/>
                <w:rtl/>
              </w:rPr>
              <w:t>روش‌شناسی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کلیدی</w:t>
            </w:r>
          </w:p>
        </w:tc>
        <w:tc>
          <w:tcPr>
            <w:tcW w:w="1409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  <w:r w:rsidRPr="004C3F8D">
              <w:rPr>
                <w:rFonts w:cs="Lotus" w:hint="cs"/>
                <w:sz w:val="18"/>
                <w:szCs w:val="18"/>
                <w:rtl/>
              </w:rPr>
              <w:t>داده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و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مورد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مطالعه</w:t>
            </w:r>
          </w:p>
        </w:tc>
        <w:tc>
          <w:tcPr>
            <w:tcW w:w="1988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  <w:r w:rsidRPr="004C3F8D">
              <w:rPr>
                <w:rFonts w:cs="Lotus" w:hint="cs"/>
                <w:sz w:val="18"/>
                <w:szCs w:val="18"/>
                <w:rtl/>
              </w:rPr>
              <w:t>یافته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/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نوآوری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کلیدی</w:t>
            </w:r>
          </w:p>
        </w:tc>
        <w:tc>
          <w:tcPr>
            <w:tcW w:w="848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  <w:r w:rsidRPr="004C3F8D">
              <w:rPr>
                <w:rFonts w:cs="Lotus" w:hint="cs"/>
                <w:sz w:val="18"/>
                <w:szCs w:val="18"/>
                <w:rtl/>
              </w:rPr>
              <w:t>سال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تحقیق</w:t>
            </w:r>
          </w:p>
        </w:tc>
      </w:tr>
      <w:tr w:rsidR="004C3F8D" w:rsidRPr="004C3F8D" w:rsidTr="00A21633">
        <w:tc>
          <w:tcPr>
            <w:tcW w:w="431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  <w:r w:rsidRPr="004C3F8D">
              <w:rPr>
                <w:rFonts w:cs="Lotus"/>
                <w:sz w:val="18"/>
                <w:szCs w:val="18"/>
              </w:rPr>
              <w:t>1</w:t>
            </w:r>
          </w:p>
        </w:tc>
        <w:tc>
          <w:tcPr>
            <w:tcW w:w="1692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</w:p>
        </w:tc>
        <w:tc>
          <w:tcPr>
            <w:tcW w:w="1409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  <w:r w:rsidRPr="004C3F8D">
              <w:rPr>
                <w:rFonts w:cs="Lotus" w:hint="cs"/>
                <w:sz w:val="18"/>
                <w:szCs w:val="18"/>
                <w:rtl/>
              </w:rPr>
              <w:t>گذر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از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پیش‌بینی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به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تصمیم‌گیری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عملیاتی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خودکار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.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ارائه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مدلی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برای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تخصیص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بهینه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منابع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در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پاسخ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به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تأخیر</w:t>
            </w:r>
            <w:r w:rsidRPr="004C3F8D">
              <w:rPr>
                <w:rFonts w:cs="Lotus"/>
                <w:sz w:val="18"/>
                <w:szCs w:val="18"/>
                <w:rtl/>
              </w:rPr>
              <w:t>.</w:t>
            </w:r>
          </w:p>
        </w:tc>
        <w:tc>
          <w:tcPr>
            <w:tcW w:w="848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  <w:r w:rsidRPr="004C3F8D">
              <w:rPr>
                <w:rFonts w:cs="Lotus"/>
                <w:sz w:val="18"/>
                <w:szCs w:val="18"/>
                <w:rtl/>
              </w:rPr>
              <w:t>۱۴۰۳</w:t>
            </w:r>
          </w:p>
        </w:tc>
      </w:tr>
      <w:tr w:rsidR="004C3F8D" w:rsidRPr="004C3F8D" w:rsidTr="00A21633">
        <w:tc>
          <w:tcPr>
            <w:tcW w:w="431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  <w:r w:rsidRPr="004C3F8D">
              <w:rPr>
                <w:rFonts w:cs="Lotus"/>
                <w:sz w:val="18"/>
                <w:szCs w:val="18"/>
              </w:rPr>
              <w:t>2</w:t>
            </w:r>
          </w:p>
        </w:tc>
        <w:tc>
          <w:tcPr>
            <w:tcW w:w="1692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</w:p>
        </w:tc>
        <w:tc>
          <w:tcPr>
            <w:tcW w:w="1409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  <w:r w:rsidRPr="004C3F8D">
              <w:rPr>
                <w:rFonts w:cs="Lotus" w:hint="cs"/>
                <w:sz w:val="18"/>
                <w:szCs w:val="18"/>
                <w:rtl/>
              </w:rPr>
              <w:t>ارائه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جبهه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پارتو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از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راه‌حل‌ها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برای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تعادل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بین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کاهش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تأخیر،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مصرف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سوخت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و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تاب‌آوری</w:t>
            </w:r>
            <w:r w:rsidRPr="004C3F8D">
              <w:rPr>
                <w:rFonts w:cs="Lotus"/>
                <w:sz w:val="18"/>
                <w:szCs w:val="18"/>
                <w:rtl/>
              </w:rPr>
              <w:t>.</w:t>
            </w:r>
          </w:p>
        </w:tc>
        <w:tc>
          <w:tcPr>
            <w:tcW w:w="848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  <w:r w:rsidRPr="004C3F8D">
              <w:rPr>
                <w:rFonts w:cs="Lotus"/>
                <w:sz w:val="18"/>
                <w:szCs w:val="18"/>
                <w:rtl/>
              </w:rPr>
              <w:t>۱۴۰۳</w:t>
            </w:r>
          </w:p>
        </w:tc>
      </w:tr>
      <w:tr w:rsidR="004C3F8D" w:rsidRPr="004C3F8D" w:rsidTr="00A21633">
        <w:tc>
          <w:tcPr>
            <w:tcW w:w="431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  <w:r w:rsidRPr="004C3F8D">
              <w:rPr>
                <w:rFonts w:cs="Lotus"/>
                <w:sz w:val="18"/>
                <w:szCs w:val="18"/>
              </w:rPr>
              <w:t>3</w:t>
            </w:r>
          </w:p>
        </w:tc>
        <w:tc>
          <w:tcPr>
            <w:tcW w:w="1692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</w:p>
        </w:tc>
        <w:tc>
          <w:tcPr>
            <w:tcW w:w="1409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  <w:r w:rsidRPr="004C3F8D">
              <w:rPr>
                <w:rFonts w:cs="Lotus" w:hint="cs"/>
                <w:sz w:val="18"/>
                <w:szCs w:val="18"/>
                <w:rtl/>
              </w:rPr>
              <w:t>عملکرد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بهتر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در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پیش‌بینی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تأخیرهای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ناگهانی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ناشی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از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تغییرات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سریع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جوی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نسبت</w:t>
            </w:r>
            <w:r w:rsidRPr="004C3F8D">
              <w:rPr>
                <w:rFonts w:cs="Lotus"/>
                <w:sz w:val="18"/>
                <w:szCs w:val="18"/>
                <w:rtl/>
              </w:rPr>
              <w:t xml:space="preserve"> </w:t>
            </w:r>
            <w:r w:rsidRPr="004C3F8D">
              <w:rPr>
                <w:rFonts w:cs="Lotus" w:hint="cs"/>
                <w:sz w:val="18"/>
                <w:szCs w:val="18"/>
                <w:rtl/>
              </w:rPr>
              <w:t>به</w:t>
            </w:r>
            <w:r w:rsidRPr="004C3F8D">
              <w:rPr>
                <w:rFonts w:cs="Lotus"/>
                <w:sz w:val="18"/>
                <w:szCs w:val="18"/>
              </w:rPr>
              <w:t xml:space="preserve"> LSTM.</w:t>
            </w:r>
          </w:p>
        </w:tc>
        <w:tc>
          <w:tcPr>
            <w:tcW w:w="848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  <w:r w:rsidRPr="004C3F8D">
              <w:rPr>
                <w:rFonts w:cs="Lotus"/>
                <w:sz w:val="18"/>
                <w:szCs w:val="18"/>
                <w:rtl/>
              </w:rPr>
              <w:t>۱۴۰۲</w:t>
            </w:r>
          </w:p>
        </w:tc>
      </w:tr>
      <w:tr w:rsidR="004C3F8D" w:rsidRPr="004C3F8D" w:rsidTr="00A21633">
        <w:tc>
          <w:tcPr>
            <w:tcW w:w="431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  <w:r w:rsidRPr="004C3F8D">
              <w:rPr>
                <w:rFonts w:cs="Lotus"/>
                <w:sz w:val="18"/>
                <w:szCs w:val="18"/>
              </w:rPr>
              <w:t>4</w:t>
            </w:r>
          </w:p>
        </w:tc>
        <w:tc>
          <w:tcPr>
            <w:tcW w:w="1692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</w:p>
        </w:tc>
        <w:tc>
          <w:tcPr>
            <w:tcW w:w="1409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  <w:r w:rsidRPr="004C3F8D">
              <w:rPr>
                <w:rFonts w:cs="Lotus"/>
                <w:sz w:val="18"/>
                <w:szCs w:val="18"/>
                <w:rtl/>
              </w:rPr>
              <w:t>۱۴۰۲</w:t>
            </w:r>
          </w:p>
        </w:tc>
      </w:tr>
      <w:tr w:rsidR="004C3F8D" w:rsidRPr="004C3F8D" w:rsidTr="00A21633">
        <w:tc>
          <w:tcPr>
            <w:tcW w:w="431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  <w:r w:rsidRPr="004C3F8D">
              <w:rPr>
                <w:rFonts w:cs="Lotus"/>
                <w:sz w:val="18"/>
                <w:szCs w:val="18"/>
              </w:rPr>
              <w:t>5</w:t>
            </w:r>
          </w:p>
        </w:tc>
        <w:tc>
          <w:tcPr>
            <w:tcW w:w="1692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</w:p>
        </w:tc>
        <w:tc>
          <w:tcPr>
            <w:tcW w:w="1409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  <w:r w:rsidRPr="004C3F8D">
              <w:rPr>
                <w:rFonts w:cs="Lotus"/>
                <w:sz w:val="18"/>
                <w:szCs w:val="18"/>
                <w:rtl/>
              </w:rPr>
              <w:t>۱۴۰۲</w:t>
            </w:r>
          </w:p>
        </w:tc>
      </w:tr>
      <w:tr w:rsidR="004C3F8D" w:rsidRPr="004C3F8D" w:rsidTr="00A21633">
        <w:tc>
          <w:tcPr>
            <w:tcW w:w="431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  <w:r w:rsidRPr="004C3F8D">
              <w:rPr>
                <w:rFonts w:cs="Lotus"/>
                <w:sz w:val="18"/>
                <w:szCs w:val="18"/>
              </w:rPr>
              <w:t>6</w:t>
            </w:r>
          </w:p>
        </w:tc>
        <w:tc>
          <w:tcPr>
            <w:tcW w:w="1692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</w:p>
        </w:tc>
        <w:tc>
          <w:tcPr>
            <w:tcW w:w="1409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  <w:r w:rsidRPr="004C3F8D">
              <w:rPr>
                <w:rFonts w:cs="Lotus"/>
                <w:sz w:val="18"/>
                <w:szCs w:val="18"/>
                <w:rtl/>
              </w:rPr>
              <w:t>۱۴۰۲</w:t>
            </w:r>
          </w:p>
        </w:tc>
      </w:tr>
      <w:tr w:rsidR="004C3F8D" w:rsidRPr="004C3F8D" w:rsidTr="00A21633">
        <w:tc>
          <w:tcPr>
            <w:tcW w:w="431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09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</w:p>
        </w:tc>
        <w:tc>
          <w:tcPr>
            <w:tcW w:w="1988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4C3F8D" w:rsidRPr="004C3F8D" w:rsidRDefault="004C3F8D" w:rsidP="00A21633">
            <w:pPr>
              <w:bidi w:val="0"/>
              <w:jc w:val="center"/>
              <w:rPr>
                <w:rFonts w:cs="Lotus"/>
                <w:sz w:val="18"/>
                <w:szCs w:val="18"/>
              </w:rPr>
            </w:pPr>
            <w:r w:rsidRPr="004C3F8D">
              <w:rPr>
                <w:rFonts w:cs="Lotus"/>
                <w:sz w:val="18"/>
                <w:szCs w:val="18"/>
                <w:rtl/>
              </w:rPr>
              <w:t>۱۴۰۲</w:t>
            </w:r>
          </w:p>
        </w:tc>
      </w:tr>
    </w:tbl>
    <w:p w:rsidR="00F01701" w:rsidRPr="00D61158" w:rsidRDefault="00F01701" w:rsidP="00D61158">
      <w:pPr>
        <w:rPr>
          <w:rFonts w:cs="Lotus"/>
        </w:rPr>
      </w:pPr>
    </w:p>
    <w:sectPr w:rsidR="00F01701" w:rsidRPr="00D61158" w:rsidSect="00DD534F">
      <w:pgSz w:w="11906" w:h="16838"/>
      <w:pgMar w:top="3402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158"/>
    <w:rsid w:val="000D43D3"/>
    <w:rsid w:val="001773C9"/>
    <w:rsid w:val="00201E80"/>
    <w:rsid w:val="002A6943"/>
    <w:rsid w:val="004C3F8D"/>
    <w:rsid w:val="00681C52"/>
    <w:rsid w:val="009A49F9"/>
    <w:rsid w:val="00A21633"/>
    <w:rsid w:val="00A80AD8"/>
    <w:rsid w:val="00A86E05"/>
    <w:rsid w:val="00B43637"/>
    <w:rsid w:val="00BC58AA"/>
    <w:rsid w:val="00C94F19"/>
    <w:rsid w:val="00D6075E"/>
    <w:rsid w:val="00D61158"/>
    <w:rsid w:val="00DD24BE"/>
    <w:rsid w:val="00DD534F"/>
    <w:rsid w:val="00E11169"/>
    <w:rsid w:val="00F0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61F15A"/>
  <w15:chartTrackingRefBased/>
  <w15:docId w15:val="{5C7EC80F-9D58-45C0-A1D5-BE0B298C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1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611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3EA4F-FC4E-4307-9CEC-2E1260211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2025-12-09T15:17:00Z</dcterms:created>
  <dcterms:modified xsi:type="dcterms:W3CDTF">2025-12-09T15:18:00Z</dcterms:modified>
</cp:coreProperties>
</file>